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6B" w:rsidRDefault="00C505C6">
      <w:pPr>
        <w:spacing w:line="360" w:lineRule="exact"/>
        <w:jc w:val="left"/>
        <w:rPr>
          <w:color w:val="000000" w:themeColor="text1"/>
          <w:sz w:val="24"/>
        </w:rPr>
      </w:pPr>
      <w:r>
        <w:rPr>
          <w:rFonts w:ascii="ＭＳ ゴシック" w:eastAsia="ＭＳ ゴシック" w:hAnsi="ＭＳ ゴシック" w:hint="eastAsia"/>
          <w:color w:val="000000" w:themeColor="text1"/>
          <w:sz w:val="24"/>
        </w:rPr>
        <w:t>別記様式第２号</w:t>
      </w:r>
      <w:r>
        <w:rPr>
          <w:rFonts w:hint="eastAsia"/>
          <w:color w:val="000000" w:themeColor="text1"/>
          <w:sz w:val="24"/>
        </w:rPr>
        <w:t>（法第</w:t>
      </w:r>
      <w:r>
        <w:rPr>
          <w:rFonts w:hint="eastAsia"/>
          <w:color w:val="000000" w:themeColor="text1"/>
          <w:sz w:val="24"/>
        </w:rPr>
        <w:t>16</w:t>
      </w:r>
      <w:r>
        <w:rPr>
          <w:rFonts w:hint="eastAsia"/>
          <w:color w:val="000000" w:themeColor="text1"/>
          <w:sz w:val="24"/>
        </w:rPr>
        <w:t>条第３項関係）</w:t>
      </w:r>
    </w:p>
    <w:p w:rsidR="000A146B" w:rsidRDefault="000A146B">
      <w:pPr>
        <w:rPr>
          <w:color w:val="000000" w:themeColor="text1"/>
          <w:sz w:val="24"/>
        </w:rPr>
      </w:pPr>
    </w:p>
    <w:p w:rsidR="000A146B" w:rsidRDefault="00C505C6">
      <w:pPr>
        <w:jc w:val="center"/>
        <w:rPr>
          <w:color w:val="000000" w:themeColor="text1"/>
          <w:sz w:val="24"/>
        </w:rPr>
      </w:pPr>
      <w:r>
        <w:rPr>
          <w:rFonts w:hint="eastAsia"/>
          <w:color w:val="000000" w:themeColor="text1"/>
          <w:sz w:val="24"/>
        </w:rPr>
        <w:t>公　　告</w:t>
      </w:r>
    </w:p>
    <w:p w:rsidR="000A146B" w:rsidRDefault="000A146B">
      <w:pPr>
        <w:rPr>
          <w:color w:val="000000" w:themeColor="text1"/>
        </w:rPr>
      </w:pPr>
    </w:p>
    <w:p w:rsidR="000A146B" w:rsidRDefault="00C505C6">
      <w:pPr>
        <w:ind w:firstLineChars="100" w:firstLine="240"/>
        <w:rPr>
          <w:color w:val="000000" w:themeColor="text1"/>
          <w:sz w:val="24"/>
        </w:rPr>
      </w:pPr>
      <w:r>
        <w:rPr>
          <w:rFonts w:hint="eastAsia"/>
          <w:color w:val="000000" w:themeColor="text1"/>
          <w:sz w:val="24"/>
        </w:rPr>
        <w:t>環境と調和のとれた食料システムの確立のための環境負荷低減事業活動の促進等に関する法律第１６</w:t>
      </w:r>
      <w:r>
        <w:rPr>
          <w:color w:val="000000" w:themeColor="text1"/>
          <w:sz w:val="24"/>
        </w:rPr>
        <w:t>条第</w:t>
      </w:r>
      <w:r>
        <w:rPr>
          <w:rFonts w:hint="eastAsia"/>
          <w:color w:val="000000" w:themeColor="text1"/>
          <w:sz w:val="24"/>
        </w:rPr>
        <w:t>２</w:t>
      </w:r>
      <w:r>
        <w:rPr>
          <w:color w:val="000000" w:themeColor="text1"/>
          <w:sz w:val="24"/>
        </w:rPr>
        <w:t>項</w:t>
      </w:r>
      <w:r>
        <w:rPr>
          <w:rFonts w:hint="eastAsia"/>
          <w:color w:val="000000" w:themeColor="text1"/>
          <w:sz w:val="24"/>
        </w:rPr>
        <w:t>第３号</w:t>
      </w:r>
      <w:r>
        <w:rPr>
          <w:color w:val="000000" w:themeColor="text1"/>
          <w:sz w:val="24"/>
        </w:rPr>
        <w:t>の規定に</w:t>
      </w:r>
      <w:r>
        <w:rPr>
          <w:rFonts w:hint="eastAsia"/>
          <w:color w:val="000000" w:themeColor="text1"/>
          <w:sz w:val="24"/>
        </w:rPr>
        <w:t>より，基本計画に特定区域を定めるため，同条第３項の規定により公告し，公衆の縦覧に供する。</w:t>
      </w:r>
    </w:p>
    <w:p w:rsidR="000A146B" w:rsidRDefault="00C505C6">
      <w:pPr>
        <w:ind w:firstLineChars="100" w:firstLine="240"/>
        <w:rPr>
          <w:color w:val="000000" w:themeColor="text1"/>
          <w:sz w:val="24"/>
        </w:rPr>
      </w:pPr>
      <w:r>
        <w:rPr>
          <w:rFonts w:hint="eastAsia"/>
          <w:color w:val="000000" w:themeColor="text1"/>
          <w:sz w:val="24"/>
        </w:rPr>
        <w:t>なお，同条第４項の規定に基づき，利害関係人は，当該縦覧期間満了の日までに，当該事項について都道府県に意見書を提出することができる。</w:t>
      </w:r>
    </w:p>
    <w:p w:rsidR="000A146B" w:rsidRDefault="000A146B">
      <w:pPr>
        <w:spacing w:line="360" w:lineRule="exact"/>
        <w:rPr>
          <w:color w:val="000000" w:themeColor="text1"/>
          <w:sz w:val="24"/>
        </w:rPr>
      </w:pPr>
    </w:p>
    <w:p w:rsidR="000A146B" w:rsidRDefault="00C505C6">
      <w:pPr>
        <w:spacing w:line="360" w:lineRule="exact"/>
        <w:rPr>
          <w:color w:val="000000" w:themeColor="text1"/>
        </w:rPr>
      </w:pPr>
      <w:r>
        <w:rPr>
          <w:rFonts w:hint="eastAsia"/>
          <w:color w:val="000000" w:themeColor="text1"/>
          <w:sz w:val="24"/>
        </w:rPr>
        <w:t xml:space="preserve">　令和５年２月１０日</w:t>
      </w:r>
    </w:p>
    <w:p w:rsidR="000A146B" w:rsidRDefault="000A146B">
      <w:pPr>
        <w:spacing w:line="360" w:lineRule="exact"/>
        <w:ind w:right="976"/>
        <w:rPr>
          <w:color w:val="000000" w:themeColor="text1"/>
        </w:rPr>
      </w:pPr>
    </w:p>
    <w:p w:rsidR="000A146B" w:rsidRDefault="00C505C6">
      <w:pPr>
        <w:spacing w:line="360" w:lineRule="exact"/>
        <w:ind w:right="976" w:firstLineChars="2800" w:firstLine="6720"/>
        <w:rPr>
          <w:color w:val="000000" w:themeColor="text1"/>
          <w:sz w:val="24"/>
        </w:rPr>
      </w:pPr>
      <w:r>
        <w:rPr>
          <w:rFonts w:hint="eastAsia"/>
          <w:color w:val="000000" w:themeColor="text1"/>
          <w:sz w:val="24"/>
        </w:rPr>
        <w:t>徳島県</w:t>
      </w:r>
    </w:p>
    <w:p w:rsidR="000A146B" w:rsidRDefault="00C505C6">
      <w:pPr>
        <w:spacing w:line="360" w:lineRule="exact"/>
        <w:ind w:firstLineChars="2800" w:firstLine="6720"/>
        <w:jc w:val="left"/>
        <w:rPr>
          <w:color w:val="000000" w:themeColor="text1"/>
          <w:sz w:val="24"/>
        </w:rPr>
      </w:pPr>
      <w:r>
        <w:rPr>
          <w:rFonts w:hint="eastAsia"/>
          <w:color w:val="000000" w:themeColor="text1"/>
          <w:sz w:val="24"/>
        </w:rPr>
        <w:t>海陽町長　三浦　茂貴</w:t>
      </w:r>
    </w:p>
    <w:p w:rsidR="000A146B" w:rsidRDefault="000A146B">
      <w:pPr>
        <w:rPr>
          <w:color w:val="000000" w:themeColor="text1"/>
          <w:sz w:val="24"/>
        </w:rPr>
      </w:pPr>
    </w:p>
    <w:p w:rsidR="000A146B" w:rsidRDefault="00C505C6">
      <w:pPr>
        <w:pStyle w:val="ab"/>
        <w:rPr>
          <w:color w:val="000000" w:themeColor="text1"/>
        </w:rPr>
      </w:pPr>
      <w:r>
        <w:rPr>
          <w:rFonts w:hint="eastAsia"/>
          <w:color w:val="000000" w:themeColor="text1"/>
        </w:rPr>
        <w:t>記</w:t>
      </w:r>
    </w:p>
    <w:p w:rsidR="000A146B" w:rsidRDefault="000A146B">
      <w:pPr>
        <w:pStyle w:val="ad"/>
        <w:jc w:val="left"/>
        <w:rPr>
          <w:color w:val="000000" w:themeColor="text1"/>
        </w:rPr>
      </w:pPr>
    </w:p>
    <w:p w:rsidR="000A146B" w:rsidRDefault="00C505C6">
      <w:pPr>
        <w:pStyle w:val="ad"/>
        <w:jc w:val="left"/>
        <w:rPr>
          <w:color w:val="000000" w:themeColor="text1"/>
        </w:rPr>
      </w:pPr>
      <w:r>
        <w:rPr>
          <w:rFonts w:hint="eastAsia"/>
          <w:color w:val="000000" w:themeColor="text1"/>
        </w:rPr>
        <w:t>１　定めようとする特定区域の区域</w:t>
      </w:r>
    </w:p>
    <w:p w:rsidR="000A146B" w:rsidRDefault="00C505C6">
      <w:pPr>
        <w:pStyle w:val="ad"/>
        <w:jc w:val="left"/>
        <w:rPr>
          <w:color w:val="000000" w:themeColor="text1"/>
        </w:rPr>
      </w:pPr>
      <w:r>
        <w:rPr>
          <w:rFonts w:hint="eastAsia"/>
          <w:color w:val="000000" w:themeColor="text1"/>
        </w:rPr>
        <w:t>（１）区域</w:t>
      </w:r>
    </w:p>
    <w:p w:rsidR="000A146B" w:rsidRDefault="00C505C6">
      <w:pPr>
        <w:pStyle w:val="ad"/>
        <w:ind w:firstLineChars="400" w:firstLine="960"/>
        <w:jc w:val="left"/>
        <w:rPr>
          <w:color w:val="000000" w:themeColor="text1"/>
        </w:rPr>
      </w:pPr>
      <w:r>
        <w:rPr>
          <w:rFonts w:hint="eastAsia"/>
          <w:color w:val="000000" w:themeColor="text1"/>
        </w:rPr>
        <w:t>海陽町野江地区，海陽町高園地区</w:t>
      </w:r>
    </w:p>
    <w:p w:rsidR="000A146B" w:rsidRDefault="00C505C6">
      <w:pPr>
        <w:pStyle w:val="ad"/>
        <w:jc w:val="left"/>
        <w:rPr>
          <w:color w:val="000000" w:themeColor="text1"/>
        </w:rPr>
      </w:pPr>
      <w:r>
        <w:rPr>
          <w:rFonts w:hint="eastAsia"/>
          <w:color w:val="000000" w:themeColor="text1"/>
        </w:rPr>
        <w:t>（２）地区設定の考え方</w:t>
      </w:r>
    </w:p>
    <w:p w:rsidR="000A146B" w:rsidRDefault="00C505C6">
      <w:pPr>
        <w:pStyle w:val="ad"/>
        <w:ind w:firstLineChars="400" w:firstLine="960"/>
        <w:jc w:val="left"/>
        <w:rPr>
          <w:color w:val="000000" w:themeColor="text1"/>
        </w:rPr>
      </w:pPr>
      <w:r>
        <w:rPr>
          <w:rFonts w:hint="eastAsia"/>
          <w:color w:val="000000" w:themeColor="text1"/>
        </w:rPr>
        <w:t>当該地区では，関係機関と連携し，町内での就農を前提とした研修「きゅうり</w:t>
      </w:r>
    </w:p>
    <w:p w:rsidR="000A146B" w:rsidRDefault="00C505C6">
      <w:pPr>
        <w:pStyle w:val="ad"/>
        <w:ind w:firstLineChars="300" w:firstLine="720"/>
        <w:jc w:val="left"/>
        <w:rPr>
          <w:color w:val="000000" w:themeColor="text1"/>
        </w:rPr>
      </w:pPr>
      <w:r>
        <w:rPr>
          <w:rFonts w:hint="eastAsia"/>
          <w:color w:val="000000" w:themeColor="text1"/>
        </w:rPr>
        <w:t>塾」を実施し，移住を伴ったと担い手育成により，産地の再生を図っている。</w:t>
      </w:r>
    </w:p>
    <w:p w:rsidR="000A146B" w:rsidRDefault="00C505C6">
      <w:pPr>
        <w:pStyle w:val="ad"/>
        <w:ind w:firstLineChars="400" w:firstLine="960"/>
        <w:jc w:val="left"/>
        <w:rPr>
          <w:color w:val="000000" w:themeColor="text1"/>
        </w:rPr>
      </w:pPr>
      <w:r>
        <w:rPr>
          <w:rFonts w:hint="eastAsia"/>
          <w:color w:val="000000" w:themeColor="text1"/>
        </w:rPr>
        <w:t>このような取り組みにより，就農者が多く定着している当該地域では，すでに</w:t>
      </w:r>
    </w:p>
    <w:p w:rsidR="000A146B" w:rsidRDefault="00C505C6">
      <w:pPr>
        <w:pStyle w:val="ad"/>
        <w:ind w:leftChars="300" w:left="660"/>
        <w:jc w:val="left"/>
        <w:rPr>
          <w:color w:val="000000" w:themeColor="text1"/>
        </w:rPr>
      </w:pPr>
      <w:r>
        <w:rPr>
          <w:rFonts w:hint="eastAsia"/>
          <w:color w:val="000000" w:themeColor="text1"/>
        </w:rPr>
        <w:t>複合耐病性品種の導入の検討が行われていることから，減農薬技術などとともに</w:t>
      </w:r>
    </w:p>
    <w:p w:rsidR="000A146B" w:rsidRDefault="00C505C6">
      <w:pPr>
        <w:pStyle w:val="ad"/>
        <w:ind w:leftChars="300" w:left="660"/>
        <w:jc w:val="left"/>
        <w:rPr>
          <w:color w:val="000000" w:themeColor="text1"/>
        </w:rPr>
      </w:pPr>
      <w:r>
        <w:rPr>
          <w:rFonts w:hint="eastAsia"/>
          <w:color w:val="000000" w:themeColor="text1"/>
        </w:rPr>
        <w:t>複合的な新たな技術が地域に相当程度導入されることが見込まれる。</w:t>
      </w:r>
    </w:p>
    <w:p w:rsidR="000A146B" w:rsidRDefault="000A146B">
      <w:pPr>
        <w:pStyle w:val="ad"/>
        <w:ind w:left="240" w:hangingChars="100" w:hanging="240"/>
        <w:jc w:val="left"/>
        <w:rPr>
          <w:color w:val="000000" w:themeColor="text1"/>
        </w:rPr>
      </w:pPr>
    </w:p>
    <w:p w:rsidR="000A146B" w:rsidRDefault="00C505C6">
      <w:pPr>
        <w:pStyle w:val="ad"/>
        <w:ind w:left="240" w:hangingChars="100" w:hanging="240"/>
        <w:jc w:val="left"/>
        <w:rPr>
          <w:color w:val="000000" w:themeColor="text1"/>
        </w:rPr>
      </w:pPr>
      <w:r>
        <w:rPr>
          <w:rFonts w:hint="eastAsia"/>
          <w:color w:val="000000" w:themeColor="text1"/>
        </w:rPr>
        <w:t>２　当該特定区域において実施する事業活動の内容</w:t>
      </w:r>
    </w:p>
    <w:p w:rsidR="000A146B" w:rsidRDefault="00C505C6">
      <w:pPr>
        <w:pStyle w:val="ad"/>
        <w:ind w:leftChars="200" w:left="440" w:firstLineChars="100" w:firstLine="240"/>
        <w:jc w:val="left"/>
        <w:rPr>
          <w:color w:val="000000" w:themeColor="text1"/>
        </w:rPr>
      </w:pPr>
      <w:r>
        <w:rPr>
          <w:rFonts w:hint="eastAsia"/>
          <w:color w:val="000000" w:themeColor="text1"/>
        </w:rPr>
        <w:t>複合耐病性品種の導入及び天敵利用による複合的技術の活用により，農薬の散布作業の省力化と使用量の低減に取り組むとともに，日照量，温度，炭酸ガス等を管理するべく，施設内環境測定機器の導入など，次世代的な栽培方法の確立を図る。</w:t>
      </w:r>
    </w:p>
    <w:p w:rsidR="000A146B" w:rsidRDefault="00C505C6">
      <w:pPr>
        <w:pStyle w:val="ad"/>
        <w:ind w:left="480" w:hangingChars="200" w:hanging="480"/>
        <w:jc w:val="left"/>
        <w:rPr>
          <w:color w:val="000000" w:themeColor="text1"/>
        </w:rPr>
      </w:pPr>
      <w:r>
        <w:rPr>
          <w:rFonts w:hint="eastAsia"/>
          <w:color w:val="000000" w:themeColor="text1"/>
        </w:rPr>
        <w:t xml:space="preserve">　　　これら取組を当該地域の定住人口増加，きゅうり栽培の移住就農者獲得を目指した「きゅうり塾」の取組</w:t>
      </w:r>
      <w:r>
        <w:rPr>
          <w:rFonts w:hint="eastAsia"/>
          <w:color w:val="000000" w:themeColor="text1"/>
        </w:rPr>
        <w:t>を含む「きゅうりタウン構想」のもとで実施することにより，これら技術を習得した担い手の定住，ひいては当該地域における先端技術の普及に伴った化学農薬の使用量低減を図る。</w:t>
      </w:r>
    </w:p>
    <w:p w:rsidR="000A146B" w:rsidRDefault="000A146B">
      <w:pPr>
        <w:pStyle w:val="ad"/>
        <w:jc w:val="left"/>
        <w:rPr>
          <w:color w:val="000000" w:themeColor="text1"/>
        </w:rPr>
      </w:pPr>
    </w:p>
    <w:p w:rsidR="000A146B" w:rsidRDefault="00C505C6">
      <w:pPr>
        <w:pStyle w:val="ad"/>
        <w:jc w:val="left"/>
        <w:rPr>
          <w:color w:val="000000" w:themeColor="text1"/>
        </w:rPr>
      </w:pPr>
      <w:r>
        <w:rPr>
          <w:rFonts w:hint="eastAsia"/>
          <w:color w:val="000000" w:themeColor="text1"/>
        </w:rPr>
        <w:t>３　縦覧期間・場所及び方法</w:t>
      </w:r>
    </w:p>
    <w:p w:rsidR="000A146B" w:rsidRDefault="00C505C6">
      <w:pPr>
        <w:pStyle w:val="ad"/>
        <w:jc w:val="left"/>
        <w:rPr>
          <w:color w:val="000000" w:themeColor="text1"/>
        </w:rPr>
      </w:pPr>
      <w:r>
        <w:rPr>
          <w:rFonts w:hint="eastAsia"/>
          <w:color w:val="000000" w:themeColor="text1"/>
        </w:rPr>
        <w:t xml:space="preserve">　　　令和５年２月１０日から令和２年２月２４日まで</w:t>
      </w:r>
    </w:p>
    <w:p w:rsidR="000A146B" w:rsidRDefault="00C505C6">
      <w:pPr>
        <w:pStyle w:val="ad"/>
        <w:jc w:val="left"/>
        <w:rPr>
          <w:color w:val="000000" w:themeColor="text1"/>
        </w:rPr>
      </w:pPr>
      <w:r>
        <w:rPr>
          <w:rFonts w:hint="eastAsia"/>
          <w:color w:val="000000" w:themeColor="text1"/>
        </w:rPr>
        <w:t xml:space="preserve">　　　海陽町役場　宍喰庁舎</w:t>
      </w:r>
      <w:bookmarkStart w:id="0" w:name="_GoBack"/>
      <w:bookmarkEnd w:id="0"/>
      <w:r>
        <w:rPr>
          <w:rFonts w:hint="eastAsia"/>
          <w:color w:val="000000" w:themeColor="text1"/>
        </w:rPr>
        <w:t>農林水産課</w:t>
      </w:r>
    </w:p>
    <w:p w:rsidR="000A146B" w:rsidRDefault="000A146B">
      <w:pPr>
        <w:pStyle w:val="ad"/>
        <w:jc w:val="left"/>
        <w:rPr>
          <w:color w:val="000000" w:themeColor="text1"/>
        </w:rPr>
      </w:pPr>
    </w:p>
    <w:p w:rsidR="000A146B" w:rsidRDefault="000A146B">
      <w:pPr>
        <w:pStyle w:val="ad"/>
        <w:jc w:val="left"/>
        <w:rPr>
          <w:color w:val="000000" w:themeColor="text1"/>
        </w:rPr>
      </w:pPr>
    </w:p>
    <w:p w:rsidR="000A146B" w:rsidRDefault="000A146B">
      <w:pPr>
        <w:pStyle w:val="ad"/>
        <w:jc w:val="left"/>
        <w:rPr>
          <w:color w:val="000000" w:themeColor="text1"/>
        </w:rPr>
      </w:pPr>
    </w:p>
    <w:p w:rsidR="000A146B" w:rsidRDefault="000A146B">
      <w:pPr>
        <w:pStyle w:val="ad"/>
        <w:jc w:val="left"/>
        <w:rPr>
          <w:color w:val="000000" w:themeColor="text1"/>
        </w:rPr>
      </w:pPr>
    </w:p>
    <w:p w:rsidR="000A146B" w:rsidRDefault="000A146B">
      <w:pPr>
        <w:pStyle w:val="ad"/>
        <w:jc w:val="left"/>
        <w:rPr>
          <w:color w:val="000000" w:themeColor="text1"/>
        </w:rPr>
      </w:pPr>
    </w:p>
    <w:p w:rsidR="000A146B" w:rsidRDefault="000A146B">
      <w:pPr>
        <w:pStyle w:val="ad"/>
        <w:jc w:val="left"/>
        <w:rPr>
          <w:color w:val="000000" w:themeColor="text1"/>
        </w:rPr>
      </w:pPr>
    </w:p>
    <w:p w:rsidR="000A146B" w:rsidRDefault="00C505C6">
      <w:pPr>
        <w:pStyle w:val="ad"/>
        <w:jc w:val="left"/>
        <w:rPr>
          <w:color w:val="000000" w:themeColor="text1"/>
        </w:rPr>
      </w:pPr>
      <w:r>
        <w:rPr>
          <w:rFonts w:hint="eastAsia"/>
          <w:color w:val="000000" w:themeColor="text1"/>
        </w:rPr>
        <w:lastRenderedPageBreak/>
        <w:t>４　意見書の提出方法・提出先</w:t>
      </w:r>
    </w:p>
    <w:p w:rsidR="000A146B" w:rsidRDefault="00C505C6">
      <w:pPr>
        <w:pStyle w:val="ad"/>
        <w:ind w:firstLineChars="200" w:firstLine="480"/>
        <w:jc w:val="left"/>
        <w:rPr>
          <w:color w:val="000000" w:themeColor="text1"/>
        </w:rPr>
      </w:pPr>
      <w:r>
        <w:rPr>
          <w:rFonts w:hint="eastAsia"/>
          <w:color w:val="000000" w:themeColor="text1"/>
        </w:rPr>
        <w:t>【提出方法】</w:t>
      </w:r>
    </w:p>
    <w:p w:rsidR="000A146B" w:rsidRDefault="00C505C6">
      <w:pPr>
        <w:pStyle w:val="ad"/>
        <w:ind w:leftChars="300" w:left="660" w:firstLineChars="100" w:firstLine="240"/>
        <w:jc w:val="left"/>
        <w:rPr>
          <w:color w:val="000000" w:themeColor="text1"/>
        </w:rPr>
      </w:pPr>
      <w:r>
        <w:rPr>
          <w:rFonts w:hint="eastAsia"/>
          <w:color w:val="000000" w:themeColor="text1"/>
        </w:rPr>
        <w:t>意見書の提出については，電話では受付を行いませんので，次のいずれかの方法により提出してください</w:t>
      </w:r>
    </w:p>
    <w:p w:rsidR="000A146B" w:rsidRDefault="00C505C6">
      <w:pPr>
        <w:pStyle w:val="ad"/>
        <w:ind w:leftChars="200" w:left="440" w:firstLineChars="100" w:firstLine="240"/>
        <w:jc w:val="left"/>
        <w:rPr>
          <w:color w:val="000000" w:themeColor="text1"/>
        </w:rPr>
      </w:pPr>
      <w:r>
        <w:rPr>
          <w:rFonts w:hint="eastAsia"/>
          <w:color w:val="000000" w:themeColor="text1"/>
        </w:rPr>
        <w:t>メール：norinsuisan@kaiyo-town.jp</w:t>
      </w:r>
    </w:p>
    <w:p w:rsidR="000A146B" w:rsidRDefault="00C505C6">
      <w:pPr>
        <w:spacing w:line="360" w:lineRule="exact"/>
        <w:rPr>
          <w:color w:val="000000" w:themeColor="text1"/>
          <w:sz w:val="24"/>
        </w:rPr>
      </w:pPr>
      <w:r>
        <w:rPr>
          <w:rFonts w:hint="eastAsia"/>
          <w:color w:val="000000" w:themeColor="text1"/>
          <w:sz w:val="24"/>
        </w:rPr>
        <w:t xml:space="preserve">　　　ＦＡＸ：08844-76-2874</w:t>
      </w:r>
    </w:p>
    <w:p w:rsidR="000A146B" w:rsidRDefault="00C505C6">
      <w:pPr>
        <w:spacing w:line="360" w:lineRule="exact"/>
        <w:ind w:firstLineChars="300" w:firstLine="720"/>
        <w:rPr>
          <w:color w:val="000000" w:themeColor="text1"/>
          <w:sz w:val="24"/>
        </w:rPr>
      </w:pPr>
      <w:r>
        <w:rPr>
          <w:rFonts w:hint="eastAsia"/>
          <w:color w:val="000000" w:themeColor="text1"/>
          <w:sz w:val="24"/>
        </w:rPr>
        <w:t>郵　送：〒７７５－０５９５</w:t>
      </w:r>
    </w:p>
    <w:p w:rsidR="000A146B" w:rsidRDefault="00C505C6">
      <w:pPr>
        <w:spacing w:line="360" w:lineRule="exact"/>
        <w:ind w:firstLineChars="300" w:firstLine="720"/>
        <w:rPr>
          <w:color w:val="000000" w:themeColor="text1"/>
          <w:sz w:val="24"/>
        </w:rPr>
      </w:pPr>
      <w:r>
        <w:rPr>
          <w:rFonts w:hint="eastAsia"/>
          <w:color w:val="000000" w:themeColor="text1"/>
          <w:sz w:val="24"/>
        </w:rPr>
        <w:t xml:space="preserve">　　　　　徳島県海部郡海陽町宍喰浦字宍喰３６４番地１</w:t>
      </w:r>
    </w:p>
    <w:p w:rsidR="000A146B" w:rsidRDefault="00C505C6">
      <w:pPr>
        <w:spacing w:line="360" w:lineRule="exact"/>
        <w:ind w:firstLineChars="300" w:firstLine="720"/>
        <w:rPr>
          <w:color w:val="000000" w:themeColor="text1"/>
          <w:sz w:val="24"/>
        </w:rPr>
      </w:pPr>
      <w:r>
        <w:rPr>
          <w:rFonts w:hint="eastAsia"/>
          <w:color w:val="000000" w:themeColor="text1"/>
          <w:sz w:val="24"/>
        </w:rPr>
        <w:t xml:space="preserve">　　　　　農林水産課</w:t>
      </w:r>
      <w:r>
        <w:rPr>
          <w:rFonts w:hint="eastAsia"/>
          <w:color w:val="000000" w:themeColor="text1"/>
          <w:sz w:val="24"/>
        </w:rPr>
        <w:t>宛</w:t>
      </w:r>
    </w:p>
    <w:p w:rsidR="000A146B" w:rsidRDefault="000A146B">
      <w:pPr>
        <w:spacing w:line="360" w:lineRule="exact"/>
        <w:ind w:firstLineChars="300" w:firstLine="720"/>
        <w:rPr>
          <w:color w:val="000000" w:themeColor="text1"/>
          <w:sz w:val="24"/>
        </w:rPr>
      </w:pPr>
    </w:p>
    <w:p w:rsidR="000A146B" w:rsidRDefault="00C505C6">
      <w:pPr>
        <w:spacing w:line="360" w:lineRule="exact"/>
        <w:ind w:firstLineChars="200" w:firstLine="480"/>
        <w:rPr>
          <w:color w:val="000000" w:themeColor="text1"/>
          <w:sz w:val="24"/>
        </w:rPr>
      </w:pPr>
      <w:r>
        <w:rPr>
          <w:rFonts w:hint="eastAsia"/>
          <w:color w:val="000000" w:themeColor="text1"/>
          <w:sz w:val="24"/>
        </w:rPr>
        <w:t>【提出先】</w:t>
      </w:r>
    </w:p>
    <w:p w:rsidR="000A146B" w:rsidRDefault="00C505C6">
      <w:pPr>
        <w:spacing w:line="360" w:lineRule="exact"/>
        <w:ind w:firstLineChars="400" w:firstLine="960"/>
        <w:rPr>
          <w:color w:val="000000" w:themeColor="text1"/>
          <w:sz w:val="24"/>
        </w:rPr>
      </w:pPr>
      <w:r>
        <w:rPr>
          <w:rFonts w:hint="eastAsia"/>
          <w:color w:val="000000" w:themeColor="text1"/>
          <w:sz w:val="24"/>
        </w:rPr>
        <w:t>海陽町役場　宍喰庁舎　農林水産課</w:t>
      </w:r>
    </w:p>
    <w:p w:rsidR="000A146B" w:rsidRDefault="000A146B">
      <w:pPr>
        <w:spacing w:line="360" w:lineRule="exact"/>
        <w:ind w:firstLineChars="200" w:firstLine="480"/>
        <w:rPr>
          <w:color w:val="000000" w:themeColor="text1"/>
          <w:sz w:val="24"/>
        </w:rPr>
      </w:pPr>
    </w:p>
    <w:p w:rsidR="000A146B" w:rsidRDefault="000A146B">
      <w:pPr>
        <w:spacing w:line="360" w:lineRule="exact"/>
        <w:ind w:firstLineChars="200" w:firstLine="480"/>
        <w:rPr>
          <w:color w:val="000000" w:themeColor="text1"/>
          <w:sz w:val="24"/>
        </w:rPr>
      </w:pPr>
    </w:p>
    <w:p w:rsidR="000A146B" w:rsidRDefault="000A146B">
      <w:pPr>
        <w:spacing w:line="360" w:lineRule="exact"/>
        <w:ind w:firstLineChars="200" w:firstLine="480"/>
        <w:rPr>
          <w:color w:val="000000" w:themeColor="text1"/>
          <w:sz w:val="24"/>
        </w:rPr>
      </w:pPr>
    </w:p>
    <w:p w:rsidR="000A146B" w:rsidRDefault="000A146B">
      <w:pPr>
        <w:ind w:left="448" w:hanging="448"/>
        <w:rPr>
          <w:color w:val="000000" w:themeColor="text1"/>
        </w:rPr>
      </w:pPr>
    </w:p>
    <w:p w:rsidR="000A146B" w:rsidRDefault="000A146B">
      <w:pPr>
        <w:spacing w:line="360" w:lineRule="exact"/>
        <w:ind w:left="448" w:hanging="448"/>
        <w:rPr>
          <w:color w:val="000000" w:themeColor="text1"/>
        </w:rPr>
      </w:pPr>
    </w:p>
    <w:sectPr w:rsidR="000A146B">
      <w:headerReference w:type="default" r:id="rId7"/>
      <w:pgSz w:w="11906" w:h="16838"/>
      <w:pgMar w:top="1021" w:right="1274" w:bottom="1276" w:left="1191" w:header="720" w:footer="720" w:gutter="0"/>
      <w:pgNumType w:start="23"/>
      <w:cols w:space="720"/>
      <w:noEndnote/>
      <w:docGrid w:linePitch="284" w:charSpace="409"/>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05C6">
      <w:r>
        <w:separator/>
      </w:r>
    </w:p>
  </w:endnote>
  <w:endnote w:type="continuationSeparator" w:id="0">
    <w:p w:rsidR="00000000" w:rsidRDefault="00C5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05C6">
      <w:r>
        <w:separator/>
      </w:r>
    </w:p>
  </w:footnote>
  <w:footnote w:type="continuationSeparator" w:id="0">
    <w:p w:rsidR="00000000" w:rsidRDefault="00C50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6B" w:rsidRDefault="000A146B">
    <w:pPr>
      <w:pStyle w:val="a9"/>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A146B"/>
    <w:rsid w:val="000A146B"/>
    <w:rsid w:val="00C50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Calibri" w:hAnsi="Calibri"/>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867</Words>
  <Characters>125</Characters>
  <Application>Microsoft Office Word</Application>
  <DocSecurity>0</DocSecurity>
  <Lines>1</Lines>
  <Paragraphs>1</Paragraphs>
  <ScaleCrop>false</ScaleCrop>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2022-11-30T01:49:00Z</dcterms:created>
  <dcterms:modified xsi:type="dcterms:W3CDTF">2023-02-16T10:28:00Z</dcterms:modified>
</cp:coreProperties>
</file>